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F6" w:rsidRPr="005768BD" w:rsidRDefault="003A40A5" w:rsidP="007A4DF6">
      <w:pPr>
        <w:pStyle w:val="a3"/>
        <w:rPr>
          <w:sz w:val="22"/>
        </w:rPr>
      </w:pPr>
      <w:bookmarkStart w:id="0" w:name="_GoBack"/>
      <w:bookmarkEnd w:id="0"/>
      <w:r>
        <w:rPr>
          <w:rFonts w:eastAsiaTheme="minorHAnsi"/>
          <w:noProof/>
          <w:sz w:val="20"/>
          <w:szCs w:val="22"/>
        </w:rPr>
        <w:drawing>
          <wp:inline distT="0" distB="0" distL="0" distR="0">
            <wp:extent cx="5940425" cy="8151470"/>
            <wp:effectExtent l="0" t="0" r="3175" b="2540"/>
            <wp:docPr id="2" name="Рисунок 2" descr="C:\Users\User\Рабочий стол\Сканы 1\2024-12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Сканы 1\2024-12-2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DF6" w:rsidRPr="005768BD">
        <w:rPr>
          <w:sz w:val="22"/>
        </w:rPr>
        <w:t>правовую и дисциплинарную ответственность в соответствии с законодательством Российской Федерации.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 xml:space="preserve">1.5.4. </w:t>
      </w:r>
      <w:r w:rsidRPr="005768BD">
        <w:rPr>
          <w:b/>
          <w:bCs/>
          <w:sz w:val="22"/>
        </w:rPr>
        <w:t xml:space="preserve">Субъекты антикоррупционной политики </w:t>
      </w:r>
      <w:r w:rsidRPr="005768BD">
        <w:rPr>
          <w:sz w:val="22"/>
        </w:rPr>
        <w:t>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lastRenderedPageBreak/>
        <w:t xml:space="preserve">1.5.5. </w:t>
      </w:r>
      <w:r w:rsidRPr="005768BD">
        <w:rPr>
          <w:b/>
          <w:bCs/>
          <w:sz w:val="22"/>
        </w:rPr>
        <w:t xml:space="preserve">Субъекты коррупционных правонарушений </w:t>
      </w:r>
      <w:r w:rsidRPr="005768BD">
        <w:rPr>
          <w:sz w:val="22"/>
        </w:rPr>
        <w:t>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 xml:space="preserve">1.5.6. </w:t>
      </w:r>
      <w:r w:rsidRPr="005768BD">
        <w:rPr>
          <w:b/>
          <w:bCs/>
          <w:sz w:val="22"/>
        </w:rPr>
        <w:t xml:space="preserve">Предупреждение коррупции </w:t>
      </w:r>
      <w:r w:rsidRPr="005768BD">
        <w:rPr>
          <w:sz w:val="22"/>
        </w:rPr>
        <w:t>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 xml:space="preserve">1.5.7. </w:t>
      </w:r>
      <w:r w:rsidRPr="005768BD">
        <w:rPr>
          <w:b/>
          <w:bCs/>
          <w:sz w:val="22"/>
        </w:rPr>
        <w:t xml:space="preserve">Конфликт интересов </w:t>
      </w:r>
      <w:r w:rsidRPr="005768BD">
        <w:rPr>
          <w:sz w:val="22"/>
        </w:rPr>
        <w:t>— ситуация, при которой личная заинтересованность человека может повлиять на процесс принятия решения и, таким образом, принести ущерб интересам общества либо учреждению, в котором работает сотрудник.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1.6. Настоящее положение вступает в силу с момента его утверждения приказом по учреждению.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b/>
          <w:bCs/>
          <w:sz w:val="22"/>
        </w:rPr>
        <w:t>2. Задачи и полномочия Комиссии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2.1. Основными задачами Комиссии являются: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а) содействие в урегулировании конфликта интересов, способного привести к причинению вреда законным интересам граждан, организаций, обществу и учреждению;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б) обеспечение условий для добросовестного и эффективного исполнения обязанностей работниками учреждения;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в) исключение злоупотреблений со стороны работников учреждения при выполнении их должностных обязанностей;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г) противодействие коррупции.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        2.2. Комиссия для решения возложенных на неё задач обязана: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 xml:space="preserve"> - вносить предложения на рассмотрение руководителя учреждения по совершенствованию деятельности учреждения в сфере противодействия коррупции; 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 xml:space="preserve">- 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 к компетенции Комиссии; 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 xml:space="preserve">- разрабатывать рекомендации для практического использования по предотвращению и профилактике коррупционных правонарушений в учреждении; 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 xml:space="preserve">- принимать участие в подготовке и организации выполнения локальных нормативных актов по вопросам, относящимся к компетенции Комиссии; 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 xml:space="preserve">-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 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- вносить предложения о привлечении к дисциплинарной ответственности работников учреждения, совершивших коррупционные правонарушения.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b/>
          <w:bCs/>
          <w:sz w:val="22"/>
        </w:rPr>
        <w:t>3. Порядок работы Комиссии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3.1. 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информация о наличии у работника учреждения личной заинтересованности, которая приводит или может привести к конфликту интересов.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lastRenderedPageBreak/>
        <w:t>3.2. Данная информация должна быть представлена в письменной форме и содержать следующие сведения: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а) фамилию, имя, отчество работника учреждения и занимаемая им должность;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в) данные об источнике информации;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г) информация от анонимного автора к рассмотрению не принимается.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3.3. В Комиссию должны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3.4. Комиссия вправе провести проверки по фактам нарушения служебной дисциплины и этики служебного поведения при возникновении конфликта интересов.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3.5. Председатель Комиссии в трехдневный срок со дня поступления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информации о наличии у работника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наличии у работника учреждения личной заинтересованности.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3.7. Заседание Комиссии считается правомочным, если на нем присутствует не менее половины членов Комиссии.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3.9.На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3.10.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3.11. Заместитель председателя Комиссии, в случаях отсутствия председателя Комиссии, по его поручению, проводит заседания Комиссии.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Члены Комиссии осуществляют свою деятельность на общественных началах.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b/>
          <w:bCs/>
          <w:sz w:val="22"/>
        </w:rPr>
        <w:t>4. Решение Комиссии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lastRenderedPageBreak/>
        <w:t>4.1. По итогам рассмотрения информации, являющейся основанием для заседания, Комиссия может принять одно из следующих решений: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- установить, что в рассмотренном случае не содержится признаков личной заинтересованности работника учреждения, которая приводит или может привести к конфликту интересов;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- установить факт наличия личной заинтересованности работника учреждения, которая приводит или может привести к конфликту интересов.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4.2. Присутствие на заседании членов комиссии обязательно. Решения Комиссии принимаются простым большинством голосов от общего количества членов комиссии, назначенных приказом.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4.3. Решение Комиссии оформляется протоколами, которые подписывают члены комиссии, принявшие участие в ее заседании.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В решении Комиссии указываются: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а) фамилия, имя, отчество, должность работника учреждения, в отношении которого рассматривается вопрос о наличии личной заинтересованности, которая приводит или может привести к конфликту интересов;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б) источник информации, ставшей основанием для проведения заседания Комиссии;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г) фамилии, имена, отчества членов Комиссии и других лиц, присутствующих на заседании;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д) существо решения и его обоснование;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е) результаты голосования.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4.4.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4.5. Копии решения Комиссии в течение 10 дней со дня его принятия направляются работнику учреждения, а также по решению Комиссии – иным заинтересованным лицам.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4.6. 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4.7. 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</w:t>
      </w:r>
      <w:r w:rsidR="00D602A9" w:rsidRPr="005768BD">
        <w:rPr>
          <w:sz w:val="22"/>
        </w:rPr>
        <w:t>ий такой факт документы в прав охранительные</w:t>
      </w:r>
      <w:r w:rsidRPr="005768BD">
        <w:rPr>
          <w:sz w:val="22"/>
        </w:rPr>
        <w:t xml:space="preserve"> органы.</w:t>
      </w:r>
    </w:p>
    <w:p w:rsidR="007A4DF6" w:rsidRPr="005768BD" w:rsidRDefault="007A4DF6" w:rsidP="007A4DF6">
      <w:pPr>
        <w:pStyle w:val="a3"/>
        <w:rPr>
          <w:sz w:val="22"/>
        </w:rPr>
      </w:pPr>
      <w:r w:rsidRPr="005768BD">
        <w:rPr>
          <w:sz w:val="22"/>
        </w:rPr>
        <w:t>4.8. Решение Комиссии, принятое в отношении работника учреждения, хранится в его личном деле.</w:t>
      </w:r>
    </w:p>
    <w:p w:rsidR="006175BE" w:rsidRPr="005768BD" w:rsidRDefault="006175BE">
      <w:pPr>
        <w:rPr>
          <w:sz w:val="20"/>
        </w:rPr>
      </w:pPr>
    </w:p>
    <w:sectPr w:rsidR="006175BE" w:rsidRPr="005768BD" w:rsidSect="009F56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EE"/>
    <w:rsid w:val="00025DEE"/>
    <w:rsid w:val="002609FE"/>
    <w:rsid w:val="003A40A5"/>
    <w:rsid w:val="005728E5"/>
    <w:rsid w:val="005768BD"/>
    <w:rsid w:val="006175BE"/>
    <w:rsid w:val="007A4DF6"/>
    <w:rsid w:val="009F56DB"/>
    <w:rsid w:val="00D602A9"/>
    <w:rsid w:val="00D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5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F5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A506-7640-4638-8BA9-987F687F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2025-02-07T07:17:00Z</dcterms:created>
  <dcterms:modified xsi:type="dcterms:W3CDTF">2025-02-07T07:17:00Z</dcterms:modified>
</cp:coreProperties>
</file>